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REGULAMENTO DO TCC –</w:t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TRABALHO DE CONCLUSÃO DO</w:t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 DE LICENCIATURA EM LETRAS/INGLÊS</w:t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UNIDADE UNIVERSITÁRIA DE DOURADOS - UEMS</w:t>
      </w:r>
    </w:p>
    <w:p>
      <w:pPr>
        <w:pStyle w:val="style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CAPÍTULO I</w:t>
      </w:r>
    </w:p>
    <w:p>
      <w:pPr>
        <w:pStyle w:val="style0"/>
        <w:ind w:firstLine="1080" w:left="0" w:right="0"/>
        <w:jc w:val="both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DA DEFINIÇÃO, FINALIDADES E DOS OBJETIVOS </w:t>
      </w:r>
    </w:p>
    <w:p>
      <w:pPr>
        <w:pStyle w:val="style2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20"/>
        <w:jc w:val="both"/>
        <w:rPr/>
      </w:pPr>
      <w:r>
        <w:rPr>
          <w:b/>
          <w:bCs/>
        </w:rPr>
        <w:t xml:space="preserve">Art. 1º. </w:t>
      </w:r>
      <w:r>
        <w:rPr/>
        <w:t>Este Regulamento tem por finalidade normatizar as atividades relacionadas ao Trabalho de Conclusão de Curs</w:t>
      </w:r>
      <w:r>
        <w:rPr>
          <w:shd w:fill="FFFFFF" w:val="clear"/>
        </w:rPr>
        <w:t>o (TCC), obrig</w:t>
      </w:r>
      <w:r>
        <w:rPr/>
        <w:t xml:space="preserve">atório para a integralização do Curso de Letras - Licenciatura Português/Inglês e suas literaturas da Unidade de Dourados da UEMS.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 xml:space="preserve">Art. 2º. </w:t>
      </w:r>
      <w:r>
        <w:rPr/>
        <w:t>O TCC deverá ser organizado a partir de um projeto de pesquisa, preferencialmente vinculado à linha de pesquisa do professor-orientador, cujos procedimentos teóricos e metodológicos garantam o aprendizado e a qualidade da pesquisa dentro da grande área de Letras, Linguística e Artes.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 xml:space="preserve">Art. 3º. </w:t>
      </w:r>
      <w:r>
        <w:rPr/>
        <w:t xml:space="preserve">A temática do trabalho estará relacionada às questões teóricas, metodológicas e didático-pedagógicas relativas aos estudos de linguagem e desencadeadas no interior do Curso.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color w:val="00000A"/>
        </w:rPr>
      </w:pPr>
      <w:r>
        <w:rPr>
          <w:b/>
          <w:color w:val="00000A"/>
        </w:rPr>
        <w:t>Art. 4º.</w:t>
      </w:r>
      <w:r>
        <w:rPr>
          <w:color w:val="00000A"/>
        </w:rPr>
        <w:t xml:space="preserve"> As atividades de pesquisa relativas à elaboração do Trabalho de Conclusão de Curso poderão iniciar-se a partir do terceiro ano do curso.</w:t>
      </w:r>
    </w:p>
    <w:p>
      <w:pPr>
        <w:pStyle w:val="style20"/>
        <w:jc w:val="both"/>
        <w:rPr>
          <w:color w:val="00000A"/>
        </w:rPr>
      </w:pPr>
      <w:r>
        <w:rPr>
          <w:color w:val="00000A"/>
        </w:rPr>
      </w:r>
    </w:p>
    <w:p>
      <w:pPr>
        <w:pStyle w:val="style20"/>
        <w:jc w:val="both"/>
        <w:rPr/>
      </w:pPr>
      <w:r>
        <w:rPr>
          <w:b/>
          <w:bCs/>
        </w:rPr>
        <w:t>Art.</w:t>
      </w:r>
      <w:r>
        <w:rPr>
          <w:b/>
          <w:bCs/>
          <w:color w:val="00000A"/>
        </w:rPr>
        <w:t>. 5º</w:t>
      </w:r>
      <w:r>
        <w:rPr>
          <w:b/>
          <w:bCs/>
        </w:rPr>
        <w:t xml:space="preserve">. </w:t>
      </w:r>
      <w:r>
        <w:rPr/>
        <w:t xml:space="preserve">O TCC poderá ser apresentado, a partir do terceiro ano, em duas modalidades: monografia e artigo científico. A saber: </w:t>
      </w:r>
    </w:p>
    <w:p>
      <w:pPr>
        <w:pStyle w:val="style20"/>
        <w:jc w:val="both"/>
        <w:rPr/>
      </w:pPr>
      <w:r>
        <w:rPr/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 monografia ou artigo serão avaliados por uma banca examinadora composta pelo orientador e dois membros convidados. </w:t>
      </w:r>
    </w:p>
    <w:p>
      <w:pPr>
        <w:pStyle w:val="style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II - Em caso de publicação do artigo com coautoria do orientador em Revista de Letras, Educação ou áreas afins indexada e/ou cadastrada no Sistema Qualis /CAPES - obrigatoriamente em revistas fora da Instituição de Ensino (IES) -, a Banca será dispensada. Para tanto, os autores submeterão pedido formal de validação ao Colegiado de Curso, que poderá homologar a solicitação. </w:t>
      </w:r>
      <w:r>
        <w:rPr>
          <w:i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>
          <w:i/>
          <w:sz w:val="24"/>
          <w:szCs w:val="24"/>
        </w:rPr>
        <w:t>Parágrafo Único:</w:t>
      </w:r>
      <w:r>
        <w:rPr>
          <w:sz w:val="24"/>
          <w:szCs w:val="24"/>
        </w:rPr>
        <w:t xml:space="preserve"> A publicação deverá ser efetuada até o prazo máximo de integralização do Curso.</w:t>
      </w:r>
      <w:r>
        <w:rPr>
          <w:i/>
        </w:rPr>
        <w:t xml:space="preserve"> </w:t>
      </w:r>
    </w:p>
    <w:p>
      <w:pPr>
        <w:pStyle w:val="style20"/>
        <w:jc w:val="both"/>
        <w:rPr/>
      </w:pPr>
      <w:r>
        <w:rPr>
          <w:b/>
        </w:rPr>
        <w:t>Art. 6º.</w:t>
      </w:r>
      <w:r>
        <w:rPr/>
        <w:t xml:space="preserve"> O relatório final do TCC poderá ser apresentado a partir do terceiro ano do Curso, em forma de Monografia a ser avaliado também por uma Banca Examinadora composta por três professores – sendo um orientador e dois convidados, não havendo necessidade de publicação para sua validação como TCC. </w:t>
      </w:r>
    </w:p>
    <w:p>
      <w:pPr>
        <w:pStyle w:val="style20"/>
        <w:jc w:val="both"/>
        <w:rPr/>
      </w:pPr>
      <w:r>
        <w:rPr/>
      </w:r>
    </w:p>
    <w:p>
      <w:pPr>
        <w:pStyle w:val="style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>
        <w:rPr>
          <w:b/>
        </w:rPr>
        <w:t>º</w:t>
      </w:r>
      <w:r>
        <w:rPr>
          <w:sz w:val="24"/>
          <w:szCs w:val="24"/>
        </w:rPr>
        <w:t xml:space="preserve"> – O TCC objetiva a iniciação do acadêmico do Curso de Letras, Licenciatura – Habilitação Português/Espanhol na prática de produção do conhecimento e a oportunidade de demonstrar a capacidade destes em identificar, analisar e definir problemas de pesquisa, aprimorar a organização intelectual, pressuposto fundamental para o processo de investigação.</w:t>
      </w:r>
    </w:p>
    <w:p>
      <w:pPr>
        <w:pStyle w:val="style0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>Art. 8</w:t>
      </w:r>
      <w:r>
        <w:rPr>
          <w:b/>
        </w:rPr>
        <w:t xml:space="preserve"> º</w:t>
      </w:r>
      <w:r>
        <w:rPr>
          <w:sz w:val="24"/>
          <w:szCs w:val="24"/>
        </w:rPr>
        <w:t xml:space="preserve"> – O TCC tem por finalidades: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 – Atender os princípios norteadores do Projeto Pedagógico do Curso (PPC) e as exigências para obtenção do diploma de licenciado em Letras;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II – Tornar público o resultado de investigação científica desenvolvida pelo acadêmico durante o curso;</w:t>
      </w:r>
    </w:p>
    <w:p>
      <w:pPr>
        <w:pStyle w:val="style0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4"/>
          <w:szCs w:val="24"/>
        </w:rPr>
        <w:t>Art. 9</w:t>
      </w:r>
      <w:r>
        <w:rPr>
          <w:b/>
          <w:bCs/>
        </w:rPr>
        <w:t xml:space="preserve"> º</w:t>
      </w:r>
      <w:r>
        <w:rPr>
          <w:sz w:val="24"/>
          <w:szCs w:val="24"/>
        </w:rPr>
        <w:t xml:space="preserve"> – O TCC será realizado individualmente.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/>
      </w:pPr>
      <w:r>
        <w:rPr/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CAPÍTULO II</w:t>
      </w:r>
    </w:p>
    <w:p>
      <w:pPr>
        <w:pStyle w:val="style0"/>
        <w:ind w:firstLine="1080" w:left="0" w:right="0"/>
        <w:jc w:val="both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DA ESTRUTURA ORGANIZACIONAL DO TCC E DE SUAS COMPETÊNCIAS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Art. 10º.</w:t>
      </w:r>
      <w:r>
        <w:rPr>
          <w:rFonts w:cs="Times New Roman"/>
          <w:bCs/>
          <w:sz w:val="24"/>
          <w:szCs w:val="24"/>
        </w:rPr>
        <w:t xml:space="preserve">   O TCC será desenvolvido durante o Curso de Licenciatura em Letras, sendo subsidiado pelos professores orientadores e/ou coorientadores.</w:t>
      </w:r>
    </w:p>
    <w:p>
      <w:pPr>
        <w:pStyle w:val="style20"/>
        <w:jc w:val="center"/>
        <w:rPr/>
      </w:pPr>
      <w:r>
        <w:rPr/>
      </w:r>
    </w:p>
    <w:p>
      <w:pPr>
        <w:pStyle w:val="style20"/>
        <w:spacing w:line="276" w:lineRule="auto"/>
        <w:jc w:val="both"/>
        <w:rPr>
          <w:shd w:fill="FFFFFF" w:val="clear"/>
        </w:rPr>
      </w:pPr>
      <w:r>
        <w:rPr>
          <w:b/>
          <w:bCs/>
          <w:shd w:fill="FFFFFF" w:val="clear"/>
        </w:rPr>
        <w:t xml:space="preserve">Art. 11º. </w:t>
      </w:r>
      <w:r>
        <w:rPr>
          <w:shd w:fill="FFFFFF" w:val="clear"/>
        </w:rPr>
        <w:t xml:space="preserve">O TCC deverá ser orientado por professor do Curso de Licenciatura em Letras </w:t>
      </w:r>
      <w:r>
        <w:rPr/>
        <w:t xml:space="preserve">Licenciatura – Habilitação Português/Espanhol e Licenciatura – Habilitação Português/Inglês </w:t>
      </w:r>
      <w:r>
        <w:rPr>
          <w:shd w:fill="FFFFFF" w:val="clear"/>
        </w:rPr>
        <w:t xml:space="preserve">ou por professor da Universidade Estadual de Mato Grosso do Sul (UEMS), com titulação mínima de Especialista.  O trabalho poderá ser coorientado por professores, com titulação mínima de especialista, da UEMS e/ou de outras universidades, devidamente aprovado pelo Colegiado do Curso. </w:t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style20"/>
        <w:jc w:val="both"/>
        <w:rPr/>
      </w:pPr>
      <w:r>
        <w:rPr>
          <w:b/>
          <w:bCs/>
        </w:rPr>
        <w:t>Art. 12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 xml:space="preserve">São atribuições do professor orientador: </w:t>
      </w:r>
    </w:p>
    <w:p>
      <w:pPr>
        <w:pStyle w:val="style20"/>
        <w:jc w:val="both"/>
        <w:rPr/>
      </w:pPr>
      <w:r>
        <w:rPr/>
      </w:r>
    </w:p>
    <w:p>
      <w:pPr>
        <w:pStyle w:val="style20"/>
        <w:spacing w:line="276" w:lineRule="auto"/>
        <w:jc w:val="both"/>
        <w:rPr/>
      </w:pPr>
      <w:r>
        <w:rPr/>
        <w:t>I - avaliar a viabilidade de execução do trabalho, ponderando sobre a relevância do tema e as condições para sua operacionalização;</w:t>
      </w:r>
    </w:p>
    <w:p>
      <w:pPr>
        <w:pStyle w:val="style20"/>
        <w:spacing w:line="276" w:lineRule="auto"/>
        <w:jc w:val="both"/>
        <w:rPr/>
      </w:pPr>
      <w:r>
        <w:rPr/>
        <w:t>II - assinar a declaração de aceite de orientação de cada TCC;</w:t>
      </w:r>
    </w:p>
    <w:p>
      <w:pPr>
        <w:pStyle w:val="style20"/>
        <w:spacing w:line="276" w:lineRule="auto"/>
        <w:jc w:val="both"/>
        <w:rPr/>
      </w:pPr>
      <w:r>
        <w:rPr/>
        <w:t>III - apresentar ao orientando o Regulamento do TCC;</w:t>
      </w:r>
    </w:p>
    <w:p>
      <w:pPr>
        <w:pStyle w:val="style20"/>
        <w:spacing w:line="276" w:lineRule="auto"/>
        <w:jc w:val="both"/>
        <w:rPr/>
      </w:pPr>
      <w:r>
        <w:rPr/>
        <w:t>IV - planejar, em conjunto com o orientando e coorientador, quando for o caso, encontros sistemáticos para o acompanhamento da pesquisa;</w:t>
      </w:r>
    </w:p>
    <w:p>
      <w:pPr>
        <w:pStyle w:val="style20"/>
        <w:spacing w:line="276" w:lineRule="auto"/>
        <w:jc w:val="both"/>
        <w:rPr/>
      </w:pPr>
      <w:r>
        <w:rPr/>
        <w:t>V - orientar todos os aspectos do trabalho, desde elementos relacionados ao conteúdo até os relativos às normas técnicas para a redação do texto, indicando fontes bibliográficas e documentais, procedimentos e instrumentos de coleta de dados, e acompanhar, de forma sistemática, o desenvolvimento do trabalho;</w:t>
      </w:r>
    </w:p>
    <w:p>
      <w:pPr>
        <w:pStyle w:val="style20"/>
        <w:spacing w:line="276" w:lineRule="auto"/>
        <w:jc w:val="both"/>
        <w:rPr/>
      </w:pPr>
      <w:r>
        <w:rPr/>
        <w:t xml:space="preserve">VI - informar ao coordenador do curso as irregularidades ocorridas, durante a execução das atividades, com o propósito de preservar a qualidade do TCC; </w:t>
      </w:r>
    </w:p>
    <w:p>
      <w:pPr>
        <w:pStyle w:val="style20"/>
        <w:spacing w:line="276" w:lineRule="auto"/>
        <w:jc w:val="both"/>
        <w:rPr/>
      </w:pPr>
      <w:r>
        <w:rPr/>
        <w:t>VII - sugerir ao aluno a participação e a apresentação dos resultados de seu trabalho em evento técnico-científico bem como publicá-lo em revistas de Letras, de Educação e áreas afins.</w:t>
      </w:r>
    </w:p>
    <w:p>
      <w:pPr>
        <w:pStyle w:val="style20"/>
        <w:jc w:val="both"/>
        <w:rPr/>
      </w:pPr>
      <w:r>
        <w:rPr/>
      </w:r>
    </w:p>
    <w:p>
      <w:pPr>
        <w:pStyle w:val="style20"/>
        <w:spacing w:line="276" w:lineRule="auto"/>
        <w:jc w:val="both"/>
        <w:rPr/>
      </w:pPr>
      <w:r>
        <w:rPr>
          <w:b/>
          <w:bCs/>
        </w:rPr>
        <w:t xml:space="preserve">Art. 13º. </w:t>
      </w:r>
      <w:r>
        <w:rPr/>
        <w:t xml:space="preserve">Caberá ao orientando: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  <w:t>I – indicar o professor orientador e entregar na coordenadoria do curso a declaração assinada do aceite para a orientação do trabalho;</w:t>
      </w:r>
    </w:p>
    <w:p>
      <w:pPr>
        <w:pStyle w:val="style20"/>
        <w:spacing w:line="276" w:lineRule="auto"/>
        <w:jc w:val="both"/>
        <w:rPr/>
      </w:pPr>
      <w:r>
        <w:rPr/>
        <w:t xml:space="preserve">II - apropriar-se dos instrumentos de pesquisa e dos elementos linguísticos e textuais necessários à elaboração do TCC; </w:t>
      </w:r>
    </w:p>
    <w:p>
      <w:pPr>
        <w:pStyle w:val="style20"/>
        <w:spacing w:line="276" w:lineRule="auto"/>
        <w:jc w:val="both"/>
        <w:rPr/>
      </w:pPr>
      <w:r>
        <w:rPr/>
        <w:t xml:space="preserve">III – elaborar o projeto de pesquisa com o acompanhamento do professor orientador; </w:t>
      </w:r>
    </w:p>
    <w:p>
      <w:pPr>
        <w:pStyle w:val="style20"/>
        <w:spacing w:line="276" w:lineRule="auto"/>
        <w:jc w:val="both"/>
        <w:rPr/>
      </w:pPr>
      <w:r>
        <w:rPr/>
        <w:t xml:space="preserve">IV – realizar a pesquisa sob a supervisão do professor orientador; </w:t>
      </w:r>
    </w:p>
    <w:p>
      <w:pPr>
        <w:pStyle w:val="style20"/>
        <w:spacing w:line="276" w:lineRule="auto"/>
        <w:jc w:val="both"/>
        <w:rPr/>
      </w:pPr>
      <w:r>
        <w:rPr/>
        <w:t xml:space="preserve">V – apresentar, até o período de integralização do curso, a monografia ou o artigo científico. </w:t>
      </w:r>
    </w:p>
    <w:p>
      <w:pPr>
        <w:pStyle w:val="style20"/>
        <w:spacing w:line="276" w:lineRule="auto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14º</w:t>
      </w:r>
      <w:r>
        <w:rPr/>
        <w:t xml:space="preserve"> . Caberá à coordenadoria do curso: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  <w:t>I – publicar anualmente as linhas de pesquisa dos docentes e cronograma geral de elaboração do TCC aprovado no Colegiado de Curso;</w:t>
      </w:r>
    </w:p>
    <w:p>
      <w:pPr>
        <w:pStyle w:val="style20"/>
        <w:jc w:val="both"/>
        <w:rPr/>
      </w:pPr>
      <w:r>
        <w:rPr/>
        <w:t>II – divulgar o quadro de orientadores disponíveis e outras decisões inerentes ao processo de elaboração e defesa do trabalho;</w:t>
      </w:r>
    </w:p>
    <w:p>
      <w:pPr>
        <w:pStyle w:val="style20"/>
        <w:jc w:val="both"/>
        <w:rPr/>
      </w:pPr>
      <w:r>
        <w:rPr/>
        <w:t>III – organizar e tornar público o calendário de defesa e a composição das Bancas Examinadoras ;</w:t>
      </w:r>
    </w:p>
    <w:p>
      <w:pPr>
        <w:pStyle w:val="style20"/>
        <w:jc w:val="both"/>
        <w:rPr/>
      </w:pPr>
      <w:r>
        <w:rPr/>
        <w:t>IV – submeter ao Colegiado de Curso os casos omissos neste regulamento.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  <w:t>CAPÍTULO III</w:t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  <w:t>DO TRABALHO DE CONCLUSÃO DE CURSO E DE SEU PRAZO</w:t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Art. 15º. </w:t>
      </w:r>
      <w:r>
        <w:rPr/>
        <w:t xml:space="preserve">O TCC, pautado nas normas da Associação Brasileira de Normas Técnicas (ABNT), deverá ser submetido à apreciação do professor orientador antes da submissão à Banca.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16º.</w:t>
      </w:r>
      <w:r>
        <w:rPr>
          <w:bCs/>
        </w:rPr>
        <w:t xml:space="preserve"> O aluno </w:t>
      </w:r>
      <w:r>
        <w:rPr/>
        <w:t>deverá entregar 03 cópias impressas do trabalho à secretaria do curso, em até 20 (vinte) dias antes da data agendada para a defesa.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 xml:space="preserve">Art. 17º. </w:t>
      </w:r>
      <w:r>
        <w:rPr/>
        <w:t xml:space="preserve">O aluno deverá entregar a versão final do TCC por meio digital  até 20 (vinte) dias após a sua defesa. Em caso de publicação do artigo em Revista indexada Qualis e/ou cadastrada no Sistema Qualis/CAPES da área de Letras, Educação e áreas afins, deverá entregar o comprovante da publicação na Coordenação até, no máximo, a data do exame final. </w:t>
      </w:r>
    </w:p>
    <w:p>
      <w:pPr>
        <w:pStyle w:val="style20"/>
        <w:jc w:val="both"/>
        <w:rPr>
          <w:b/>
          <w:bCs/>
        </w:rPr>
      </w:pPr>
      <w:r>
        <w:rPr>
          <w:b/>
          <w:bCs/>
        </w:rPr>
      </w:r>
    </w:p>
    <w:p>
      <w:pPr>
        <w:pStyle w:val="style20"/>
        <w:jc w:val="both"/>
        <w:rPr>
          <w:shd w:fill="FFFFFF" w:val="clear"/>
        </w:rPr>
      </w:pPr>
      <w:r>
        <w:rPr>
          <w:b/>
          <w:bCs/>
          <w:shd w:fill="FFFFFF" w:val="clear"/>
        </w:rPr>
        <w:t xml:space="preserve">Art. 18º. </w:t>
      </w:r>
      <w:r>
        <w:rPr>
          <w:shd w:fill="FFFFFF" w:val="clear"/>
        </w:rPr>
        <w:t xml:space="preserve">Cada membro da Banca Examinadora receberá do Orientador uma das vias do TCC para análise, com 20 (vinte) dias de antecedência.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CAPÍTULO IV</w:t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BANCA EXAMINADORA</w:t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ind w:hanging="0" w:left="709" w:right="5597"/>
        <w:jc w:val="center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 xml:space="preserve">Art. 19º. </w:t>
      </w:r>
      <w:r>
        <w:rPr/>
        <w:t xml:space="preserve">A apresentação do TCC será feita perante Banca Examinadora composta por três docentes, com a titulação mínima de </w:t>
      </w:r>
      <w:r>
        <w:rPr>
          <w:color w:val="00000A"/>
        </w:rPr>
        <w:t>especialista</w:t>
      </w:r>
      <w:r>
        <w:rPr/>
        <w:t>, dos quais um será o professor orientador, que a presidirá, podendo um deles pertencer ao quadro de outra Instituição.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  <w:t xml:space="preserve">§ 1º. A indicação dos membros da Banca Examinadora será competência do professor orientador, em comum acordo com o aluno. </w:t>
      </w:r>
    </w:p>
    <w:p>
      <w:pPr>
        <w:pStyle w:val="style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style20"/>
        <w:jc w:val="both"/>
        <w:rPr>
          <w:b/>
          <w:bCs/>
          <w:shd w:fill="FFFFFF" w:val="clear"/>
        </w:rPr>
      </w:pPr>
      <w:r>
        <w:rPr>
          <w:shd w:fill="FFFFFF" w:val="clear"/>
        </w:rPr>
        <w:t>§ 2º. Na designação da Banca Examinadora  deverá  ser indicado um membro suplente encarregado  de substituir qualquer dos titulares em caso de impedimento de um deles.</w:t>
      </w:r>
      <w:r>
        <w:rPr>
          <w:b/>
          <w:bCs/>
          <w:shd w:fill="FFFFFF" w:val="clear"/>
        </w:rPr>
        <w:t xml:space="preserve"> </w:t>
      </w:r>
    </w:p>
    <w:p>
      <w:pPr>
        <w:pStyle w:val="style20"/>
        <w:jc w:val="both"/>
        <w:rPr>
          <w:b/>
          <w:bCs/>
          <w:shd w:fill="FFFFFF" w:val="clear"/>
        </w:rPr>
      </w:pPr>
      <w:r>
        <w:rPr>
          <w:b/>
          <w:bCs/>
          <w:shd w:fill="FFFFFF" w:val="clear"/>
        </w:rPr>
      </w:r>
    </w:p>
    <w:p>
      <w:pPr>
        <w:pStyle w:val="style20"/>
        <w:jc w:val="both"/>
        <w:rPr>
          <w:bCs/>
          <w:shd w:fill="FFFFFF" w:val="clear"/>
        </w:rPr>
      </w:pPr>
      <w:r>
        <w:rPr>
          <w:b/>
          <w:bCs/>
          <w:shd w:fill="FFFFFF" w:val="clear"/>
        </w:rPr>
        <w:t xml:space="preserve">Art. 20º. </w:t>
      </w:r>
      <w:r>
        <w:rPr>
          <w:bCs/>
          <w:shd w:fill="FFFFFF" w:val="clear"/>
        </w:rPr>
        <w:t>O professora orientador, presidente da Banca Examinadora, comunicará na abertura  na sessão de apresentação pública, o tempo que o acadêmico dispõe para apresentar seu trabalho, o tempo de cada componente da Banca para arguição e do  acadêmico para responder a cada um dos examinadores.</w:t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  <w:t>§ 1º.O tempo para o acadêmico realizar a apresentação oral  será de vinte minutos.</w:t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  <w:t>§ 2º.Cada membro da Banca Examinadora terá dez minutos para proceder aos questionamentos necessários.</w:t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style20"/>
        <w:jc w:val="both"/>
        <w:rPr>
          <w:shd w:fill="FFFFFF" w:val="clear"/>
        </w:rPr>
      </w:pPr>
      <w:r>
        <w:rPr>
          <w:shd w:fill="FFFFFF" w:val="clear"/>
        </w:rPr>
        <w:t xml:space="preserve">§ 3º.O acadêmico terá até dez minutos para responder a cada um dos membros da Banca. </w:t>
      </w:r>
    </w:p>
    <w:p>
      <w:pPr>
        <w:pStyle w:val="style20"/>
        <w:jc w:val="both"/>
        <w:rPr>
          <w:b/>
          <w:bCs/>
          <w:shd w:fill="FFFFFF" w:val="clear"/>
        </w:rPr>
      </w:pPr>
      <w:r>
        <w:rPr>
          <w:b/>
          <w:bCs/>
          <w:shd w:fill="FFFFFF" w:val="clear"/>
        </w:rPr>
      </w:r>
    </w:p>
    <w:p>
      <w:pPr>
        <w:pStyle w:val="style20"/>
        <w:jc w:val="both"/>
        <w:rPr>
          <w:bCs/>
          <w:shd w:fill="FFFFFF" w:val="clear"/>
        </w:rPr>
      </w:pPr>
      <w:r>
        <w:rPr>
          <w:b/>
          <w:bCs/>
          <w:shd w:fill="FFFFFF" w:val="clear"/>
        </w:rPr>
        <w:t xml:space="preserve">Art. 21º. </w:t>
      </w:r>
      <w:r>
        <w:rPr>
          <w:bCs/>
          <w:shd w:fill="FFFFFF" w:val="clear"/>
        </w:rPr>
        <w:t>As apresentações dos TCCs  serão públicas.</w:t>
      </w:r>
    </w:p>
    <w:p>
      <w:pPr>
        <w:pStyle w:val="style20"/>
        <w:jc w:val="both"/>
        <w:rPr>
          <w:b/>
          <w:bCs/>
        </w:rPr>
      </w:pPr>
      <w:r>
        <w:rPr>
          <w:b/>
          <w:bCs/>
        </w:rPr>
      </w:r>
    </w:p>
    <w:p>
      <w:pPr>
        <w:pStyle w:val="style20"/>
        <w:jc w:val="both"/>
        <w:rPr>
          <w:shd w:fill="FFFFFF" w:val="clear"/>
        </w:rPr>
      </w:pPr>
      <w:r>
        <w:rPr>
          <w:i/>
          <w:iCs/>
          <w:shd w:fill="FFFFFF" w:val="clear"/>
        </w:rPr>
        <w:t>Parágrafo Único</w:t>
      </w:r>
      <w:r>
        <w:rPr>
          <w:shd w:fill="FFFFFF" w:val="clear"/>
        </w:rPr>
        <w:t xml:space="preserve">: A data da apresentação do TCC e da composição da Banca Examinadora constará de edital publicado previamente pela Coordenação de Curso.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b/>
          <w:bCs/>
        </w:rPr>
      </w:pPr>
      <w:r>
        <w:rPr>
          <w:b/>
          <w:bCs/>
        </w:rPr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  <w:t>CAPÍTULO V</w:t>
      </w:r>
    </w:p>
    <w:p>
      <w:pPr>
        <w:pStyle w:val="style20"/>
        <w:jc w:val="center"/>
        <w:rPr>
          <w:b/>
          <w:bCs/>
        </w:rPr>
      </w:pPr>
      <w:r>
        <w:rPr>
          <w:b/>
          <w:bCs/>
        </w:rPr>
        <w:t>DA AVALIAÇÃO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22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>A avaliação do TCC caberá à Banca Examinadora, que emitirá parecer Aprovado ou Reprovado.</w:t>
      </w:r>
    </w:p>
    <w:p>
      <w:pPr>
        <w:pStyle w:val="style20"/>
        <w:jc w:val="both"/>
        <w:rPr/>
      </w:pPr>
      <w:r>
        <w:rPr/>
        <w:t xml:space="preserve"> </w:t>
      </w:r>
    </w:p>
    <w:p>
      <w:pPr>
        <w:pStyle w:val="style20"/>
        <w:jc w:val="both"/>
        <w:rPr>
          <w:color w:val="00000A"/>
          <w:shd w:fill="FFFFFF" w:val="clear"/>
        </w:rPr>
      </w:pPr>
      <w:r>
        <w:rPr>
          <w:b/>
          <w:color w:val="00000A"/>
          <w:shd w:fill="FFFFFF" w:val="clear"/>
        </w:rPr>
        <w:t>Art. 23º.</w:t>
      </w:r>
      <w:r>
        <w:rPr>
          <w:color w:val="00000A"/>
          <w:shd w:fill="FFFFFF" w:val="clear"/>
        </w:rPr>
        <w:t xml:space="preserve"> . O acadêmico que tiver o TCC aprovado com ressalvas e não entregá-lo ao professor orientador com as devidas reformulações, no prazo de 15 dias após a sua apresentação, estará automaticamente reprovado, conforme normas institucionais vigentes. </w:t>
      </w:r>
    </w:p>
    <w:p>
      <w:pPr>
        <w:pStyle w:val="style20"/>
        <w:jc w:val="both"/>
        <w:rPr>
          <w:color w:val="00000A"/>
          <w:shd w:fill="FFFFFF" w:val="clear"/>
        </w:rPr>
      </w:pPr>
      <w:r>
        <w:rPr>
          <w:color w:val="00000A"/>
          <w:shd w:fill="FFFFFF" w:val="clear"/>
        </w:rPr>
      </w:r>
    </w:p>
    <w:p>
      <w:pPr>
        <w:pStyle w:val="style20"/>
        <w:jc w:val="both"/>
        <w:rPr/>
      </w:pPr>
      <w:r>
        <w:rPr>
          <w:b/>
          <w:bCs/>
        </w:rPr>
        <w:t>Art.24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 xml:space="preserve">A avaliação do TCC abrangerá: I - conteúdo do trabalho: qualidade e consistência do conteúdo, fundamentação teórica, procedimentos utilizados e alcance dos objetivos propostos, unidade e coerência das ideias apresentadas; II - apresentação oral: exposição das ideias essenciais, capacidade de síntese, domínio e clareza na exposição.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shd w:fill="FFFFFF" w:val="clear"/>
        </w:rPr>
      </w:pPr>
      <w:r>
        <w:rPr>
          <w:i/>
          <w:shd w:fill="FFFFFF" w:val="clear"/>
        </w:rPr>
        <w:t>Parágrafo Único:</w:t>
      </w:r>
      <w:r>
        <w:rPr>
          <w:shd w:fill="FFFFFF" w:val="clear"/>
        </w:rPr>
        <w:t xml:space="preserve"> Em conformidade com o art. 5º,  ínciso II, a exposição oral do artigo científico, publicado em coautoria com o orientador em Revista Indexada e/ou cadastrada no Sistema Qualis/CAPES,  na área de Letras, Educação e áreas afins.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25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 xml:space="preserve">O resultado será comunicado ao aluno pela Banca Examinadora logo após a homologação.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bCs/>
        </w:rPr>
      </w:pPr>
      <w:r>
        <w:rPr>
          <w:b/>
          <w:bCs/>
        </w:rPr>
        <w:t>Art. 26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>
          <w:bCs/>
        </w:rPr>
        <w:t>A apresentação do TCC será avaliada considerando os critérios de conteúdos (fundamentação teórica, aspectos metodológicos e resultados obtidos), o texto escrito de acordo com as “NORMAS E CRITÉRIOS PARA ELABORAÇÃO DO TRABALHO DE CONCLUSÃO DE CURSO”, aprovado pelo Colegiado do Curso de Letras da Unidade universitária de Dourados, a apresentação oral (domínio dos conteúdos, clareza, coerência) e a defesa do trabalho durante os questionamentos da banca.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bCs/>
        </w:rPr>
      </w:pPr>
      <w:r>
        <w:rPr>
          <w:b/>
          <w:bCs/>
        </w:rPr>
        <w:t>Art. 27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>
          <w:bCs/>
        </w:rPr>
        <w:t>No caso de reprovação do trabalho, o acadêmico, respeitando o período de integralização do curso, poderá propor outro TCC.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center"/>
        <w:rPr>
          <w:b/>
          <w:bCs/>
          <w:sz w:val="28"/>
          <w:szCs w:val="28"/>
        </w:rPr>
      </w:pPr>
      <w:bookmarkStart w:id="0" w:name="__DdeLink__2856_623027890"/>
      <w:bookmarkEnd w:id="0"/>
      <w:r>
        <w:rPr>
          <w:b/>
          <w:bCs/>
          <w:sz w:val="28"/>
          <w:szCs w:val="28"/>
        </w:rPr>
        <w:t>CAPITULO VI</w:t>
      </w:r>
    </w:p>
    <w:p>
      <w:pPr>
        <w:pStyle w:val="style0"/>
        <w:ind w:firstLine="1080" w:left="0" w:right="0"/>
        <w:jc w:val="center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>DOS PROCEDIMENTOS ÉTICOS</w:t>
      </w:r>
    </w:p>
    <w:p>
      <w:pPr>
        <w:pStyle w:val="style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Art. 28</w:t>
      </w:r>
      <w:bookmarkStart w:id="1" w:name="__DdeLink__318_1842118750"/>
      <w:r>
        <w:rPr>
          <w:rFonts w:cs="Times New Roman"/>
          <w:b/>
          <w:bCs/>
          <w:sz w:val="24"/>
          <w:szCs w:val="24"/>
          <w:shd w:fill="FFFFFF" w:val="clear"/>
        </w:rPr>
        <w:t>º</w:t>
      </w:r>
      <w:r>
        <w:rPr>
          <w:rFonts w:cs="Times New Roman"/>
          <w:b/>
          <w:bCs/>
          <w:sz w:val="24"/>
          <w:szCs w:val="24"/>
        </w:rPr>
        <w:t>.</w:t>
      </w:r>
      <w:bookmarkEnd w:id="1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Todo o trabalho em que se verifique plágio/cópia da internet, ou similares, será reprovado automaticamente.</w:t>
      </w:r>
    </w:p>
    <w:p>
      <w:pPr>
        <w:pStyle w:val="style0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§ 1º. Compete ao orientador em primeiro lugar a verificação da existência de plágio, antes da submissão do TCC  à Banca Examinadora.</w:t>
      </w:r>
    </w:p>
    <w:p>
      <w:pPr>
        <w:pStyle w:val="style20"/>
        <w:rPr>
          <w:color w:val="00000A"/>
        </w:rPr>
      </w:pPr>
      <w:r>
        <w:rPr>
          <w:color w:val="00000A"/>
        </w:rPr>
        <w:t>§ 2º. Em igual teor, compete à Banca Examinadora detectar a existência de plágio no TCC sob sua avaliação, aplicando as normas deste regulamento.</w:t>
      </w:r>
    </w:p>
    <w:p>
      <w:pPr>
        <w:pStyle w:val="style20"/>
        <w:rPr>
          <w:color w:val="00000A"/>
        </w:rPr>
      </w:pPr>
      <w:r>
        <w:rPr>
          <w:color w:val="00000A"/>
        </w:rPr>
      </w:r>
    </w:p>
    <w:p>
      <w:pPr>
        <w:pStyle w:val="style20"/>
        <w:rPr>
          <w:bCs/>
          <w:color w:val="00000A"/>
          <w:shd w:fill="FFFFFF" w:val="clear"/>
        </w:rPr>
      </w:pPr>
      <w:r>
        <w:rPr>
          <w:b/>
          <w:bCs/>
          <w:color w:val="00000A"/>
        </w:rPr>
        <w:t>Art. 29</w:t>
      </w:r>
      <w:r>
        <w:rPr>
          <w:b/>
          <w:bCs/>
          <w:color w:val="00000A"/>
          <w:shd w:fill="FFFFFF" w:val="clear"/>
        </w:rPr>
        <w:t>º</w:t>
      </w:r>
      <w:r>
        <w:rPr>
          <w:b/>
          <w:bCs/>
          <w:color w:val="00000A"/>
        </w:rPr>
        <w:t>.</w:t>
      </w:r>
      <w:r>
        <w:rPr>
          <w:b/>
          <w:bCs/>
          <w:color w:val="00000A"/>
          <w:shd w:fill="FFFFFF" w:val="clear"/>
        </w:rPr>
        <w:t xml:space="preserve"> </w:t>
      </w:r>
      <w:r>
        <w:rPr>
          <w:bCs/>
          <w:color w:val="00000A"/>
          <w:shd w:fill="FFFFFF" w:val="clear"/>
        </w:rPr>
        <w:t>No caso de plágio o acadêmico só poderá apresentar um novo TCC no ano subsequente.</w:t>
      </w:r>
    </w:p>
    <w:p>
      <w:pPr>
        <w:pStyle w:val="style20"/>
        <w:rPr>
          <w:color w:val="00000A"/>
        </w:rPr>
      </w:pPr>
      <w:r>
        <w:rPr>
          <w:color w:val="00000A"/>
        </w:rPr>
      </w:r>
    </w:p>
    <w:p>
      <w:pPr>
        <w:pStyle w:val="style20"/>
        <w:rPr>
          <w:bCs/>
          <w:color w:val="993300"/>
          <w:shd w:fill="FFFFFF" w:val="clear"/>
        </w:rPr>
      </w:pPr>
      <w:r>
        <w:rPr>
          <w:bCs/>
          <w:i/>
          <w:iCs/>
          <w:color w:val="00000A"/>
          <w:shd w:fill="FFFFFF" w:val="clear"/>
        </w:rPr>
        <w:t>Parágrafo único:</w:t>
      </w:r>
      <w:r>
        <w:rPr>
          <w:bCs/>
          <w:color w:val="00000A"/>
          <w:shd w:fill="FFFFFF" w:val="clear"/>
        </w:rPr>
        <w:t xml:space="preserve"> Ao acadêmico do TCC reprovado, se constitui o direito de aceitar ou não uma nova orientação.</w:t>
      </w:r>
      <w:r>
        <w:rPr>
          <w:bCs/>
          <w:color w:val="993300"/>
          <w:shd w:fill="FFFFFF" w:val="clear"/>
        </w:rPr>
        <w:t xml:space="preserve"> </w:t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CAPITULO VII</w:t>
      </w:r>
    </w:p>
    <w:p>
      <w:pPr>
        <w:pStyle w:val="style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 DISPOSIÇÕES GERAIS</w:t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30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>O aluno que tiver o TCC aprovado, com a anuência do orientador, deverá entregar à coordenação uma cópia digitalizada, que será encaminhada à Biblioteca Central, em Dourados, conforme normas vigentes da Instituição.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bCs/>
          <w:shd w:fill="FFFFFF" w:val="clear"/>
        </w:rPr>
      </w:pPr>
      <w:r>
        <w:rPr>
          <w:b/>
          <w:bCs/>
        </w:rPr>
        <w:t>Art. 31</w:t>
      </w:r>
      <w:r>
        <w:rPr>
          <w:b/>
          <w:bCs/>
          <w:shd w:fill="FFFFFF" w:val="clear"/>
        </w:rPr>
        <w:t xml:space="preserve">º. </w:t>
      </w:r>
      <w:r>
        <w:rPr>
          <w:bCs/>
          <w:shd w:fill="FFFFFF" w:val="clear"/>
        </w:rPr>
        <w:t>O acadêmico que lograr aprovação em todas as disciplinas e não entregar o TCC nos prazos especificados em edital, ficará impossibilitado de colar grau.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b/>
          <w:bCs/>
        </w:rPr>
        <w:t>Art. 32</w:t>
      </w:r>
      <w:r>
        <w:rPr>
          <w:b/>
          <w:bCs/>
          <w:shd w:fill="FFFFFF" w:val="clear"/>
        </w:rPr>
        <w:t>º</w:t>
      </w:r>
      <w:r>
        <w:rPr>
          <w:b/>
          <w:bCs/>
        </w:rPr>
        <w:t xml:space="preserve">. </w:t>
      </w:r>
      <w:r>
        <w:rPr/>
        <w:t xml:space="preserve">As alterações no processo de orientação deverão ser comunicadas oficialmente, pelo aluno e/ou pelo professor orientador à coordenação de Curso. </w:t>
      </w:r>
    </w:p>
    <w:p>
      <w:pPr>
        <w:pStyle w:val="style20"/>
        <w:jc w:val="both"/>
        <w:rPr>
          <w:b/>
          <w:bCs/>
        </w:rPr>
      </w:pPr>
      <w:r>
        <w:rPr>
          <w:b/>
          <w:bCs/>
        </w:rPr>
      </w:r>
    </w:p>
    <w:p>
      <w:pPr>
        <w:pStyle w:val="style20"/>
        <w:jc w:val="both"/>
        <w:rPr/>
      </w:pPr>
      <w:r>
        <w:rPr>
          <w:b/>
          <w:bCs/>
        </w:rPr>
        <w:t>Art. 33º.</w:t>
      </w:r>
      <w:r>
        <w:rPr>
          <w:b/>
          <w:bCs/>
          <w:shd w:fill="FFFFFF" w:val="clear"/>
        </w:rPr>
        <w:t xml:space="preserve"> </w:t>
      </w:r>
      <w:r>
        <w:rPr/>
        <w:t>Compete ao Colegiado do Curso dirimir dúvidas referentes à interpretação deste Regulamento.</w:t>
      </w:r>
    </w:p>
    <w:p>
      <w:pPr>
        <w:pStyle w:val="style20"/>
        <w:jc w:val="both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34º. </w:t>
      </w:r>
      <w:r>
        <w:rPr>
          <w:sz w:val="24"/>
          <w:szCs w:val="24"/>
        </w:rPr>
        <w:t>Os casos omissos serão resolvidos pelo Colegiado do Curso, com anuência da PROE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o do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Legend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Mangal"/>
    </w:rPr>
  </w:style>
  <w:style w:styleId="style20" w:type="paragraph">
    <w:name w:val="Default"/>
    <w:next w:val="style2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2016-08-26T09:17:37Z</dcterms:created>
  <cp:revision>0</cp:revision>
</cp:coreProperties>
</file>